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654"/>
        <w:rPr>
          <w:sz w:val="20"/>
        </w:rPr>
      </w:pPr>
      <w:r>
        <w:rPr>
          <w:sz w:val="20"/>
        </w:rPr>
        <w:drawing>
          <wp:inline distT="0" distB="0" distL="0" distR="0">
            <wp:extent cx="2904109" cy="32670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904109" cy="326707"/>
                    </a:xfrm>
                    <a:prstGeom prst="rect">
                      <a:avLst/>
                    </a:prstGeom>
                  </pic:spPr>
                </pic:pic>
              </a:graphicData>
            </a:graphic>
          </wp:inline>
        </w:drawing>
      </w:r>
      <w:r>
        <w:rPr>
          <w:sz w:val="20"/>
        </w:rPr>
      </w:r>
    </w:p>
    <w:p>
      <w:pPr>
        <w:pStyle w:val="BodyText"/>
        <w:rPr>
          <w:sz w:val="20"/>
        </w:rPr>
      </w:pPr>
    </w:p>
    <w:p>
      <w:pPr>
        <w:pStyle w:val="BodyText"/>
        <w:spacing w:before="2"/>
        <w:rPr>
          <w:sz w:val="19"/>
        </w:rPr>
      </w:pPr>
    </w:p>
    <w:p>
      <w:pPr>
        <w:spacing w:before="91"/>
        <w:ind w:left="116" w:right="0" w:firstLine="0"/>
        <w:jc w:val="left"/>
        <w:rPr>
          <w:b/>
          <w:sz w:val="20"/>
        </w:rPr>
      </w:pPr>
      <w:r>
        <w:rPr>
          <w:b/>
          <w:sz w:val="20"/>
        </w:rPr>
        <w:t>Communiqué de presse</w:t>
      </w:r>
    </w:p>
    <w:p>
      <w:pPr>
        <w:pStyle w:val="BodyText"/>
        <w:spacing w:before="2"/>
        <w:rPr>
          <w:b/>
          <w:sz w:val="19"/>
        </w:rPr>
      </w:pPr>
    </w:p>
    <w:p>
      <w:pPr>
        <w:spacing w:before="89"/>
        <w:ind w:left="116" w:right="0" w:firstLine="0"/>
        <w:jc w:val="both"/>
        <w:rPr>
          <w:b/>
          <w:sz w:val="28"/>
        </w:rPr>
      </w:pPr>
      <w:r>
        <w:rPr>
          <w:b/>
          <w:sz w:val="28"/>
        </w:rPr>
        <w:t>Flash</w:t>
      </w:r>
      <w:r>
        <w:rPr>
          <w:b/>
          <w:spacing w:val="-17"/>
          <w:sz w:val="28"/>
        </w:rPr>
        <w:t> </w:t>
      </w:r>
      <w:r>
        <w:rPr>
          <w:b/>
          <w:sz w:val="28"/>
        </w:rPr>
        <w:t>info</w:t>
      </w:r>
      <w:r>
        <w:rPr>
          <w:b/>
          <w:spacing w:val="-16"/>
          <w:sz w:val="28"/>
        </w:rPr>
        <w:t> </w:t>
      </w:r>
      <w:r>
        <w:rPr>
          <w:b/>
          <w:sz w:val="28"/>
        </w:rPr>
        <w:t>:</w:t>
      </w:r>
      <w:r>
        <w:rPr>
          <w:b/>
          <w:spacing w:val="-17"/>
          <w:sz w:val="28"/>
        </w:rPr>
        <w:t> </w:t>
      </w:r>
      <w:r>
        <w:rPr>
          <w:b/>
          <w:sz w:val="28"/>
        </w:rPr>
        <w:t>League</w:t>
      </w:r>
      <w:r>
        <w:rPr>
          <w:b/>
          <w:spacing w:val="-17"/>
          <w:sz w:val="28"/>
        </w:rPr>
        <w:t> </w:t>
      </w:r>
      <w:r>
        <w:rPr>
          <w:b/>
          <w:sz w:val="28"/>
        </w:rPr>
        <w:t>of</w:t>
      </w:r>
      <w:r>
        <w:rPr>
          <w:b/>
          <w:spacing w:val="-17"/>
          <w:sz w:val="28"/>
        </w:rPr>
        <w:t> </w:t>
      </w:r>
      <w:r>
        <w:rPr>
          <w:b/>
          <w:sz w:val="28"/>
        </w:rPr>
        <w:t>Legends</w:t>
      </w:r>
      <w:r>
        <w:rPr>
          <w:b/>
          <w:spacing w:val="-16"/>
          <w:sz w:val="28"/>
        </w:rPr>
        <w:t> </w:t>
      </w:r>
      <w:r>
        <w:rPr>
          <w:b/>
          <w:sz w:val="28"/>
        </w:rPr>
        <w:t>fait</w:t>
      </w:r>
      <w:r>
        <w:rPr>
          <w:b/>
          <w:spacing w:val="-17"/>
          <w:sz w:val="28"/>
        </w:rPr>
        <w:t> </w:t>
      </w:r>
      <w:r>
        <w:rPr>
          <w:b/>
          <w:sz w:val="28"/>
        </w:rPr>
        <w:t>un</w:t>
      </w:r>
      <w:r>
        <w:rPr>
          <w:b/>
          <w:spacing w:val="-19"/>
          <w:sz w:val="28"/>
        </w:rPr>
        <w:t> </w:t>
      </w:r>
      <w:r>
        <w:rPr>
          <w:b/>
          <w:sz w:val="28"/>
        </w:rPr>
        <w:t>arrêt</w:t>
      </w:r>
      <w:r>
        <w:rPr>
          <w:b/>
          <w:spacing w:val="-17"/>
          <w:sz w:val="28"/>
        </w:rPr>
        <w:t> </w:t>
      </w:r>
      <w:r>
        <w:rPr>
          <w:b/>
          <w:sz w:val="28"/>
        </w:rPr>
        <w:t>à</w:t>
      </w:r>
      <w:r>
        <w:rPr>
          <w:b/>
          <w:spacing w:val="-16"/>
          <w:sz w:val="28"/>
        </w:rPr>
        <w:t> </w:t>
      </w:r>
      <w:r>
        <w:rPr>
          <w:b/>
          <w:sz w:val="28"/>
        </w:rPr>
        <w:t>la</w:t>
      </w:r>
      <w:r>
        <w:rPr>
          <w:b/>
          <w:spacing w:val="-16"/>
          <w:sz w:val="28"/>
        </w:rPr>
        <w:t> </w:t>
      </w:r>
      <w:r>
        <w:rPr>
          <w:b/>
          <w:sz w:val="28"/>
        </w:rPr>
        <w:t>première</w:t>
      </w:r>
      <w:r>
        <w:rPr>
          <w:b/>
          <w:spacing w:val="-17"/>
          <w:sz w:val="28"/>
        </w:rPr>
        <w:t> </w:t>
      </w:r>
      <w:r>
        <w:rPr>
          <w:b/>
          <w:sz w:val="28"/>
        </w:rPr>
        <w:t>édition</w:t>
      </w:r>
      <w:r>
        <w:rPr>
          <w:b/>
          <w:spacing w:val="-17"/>
          <w:sz w:val="28"/>
        </w:rPr>
        <w:t> </w:t>
      </w:r>
      <w:r>
        <w:rPr>
          <w:b/>
          <w:sz w:val="28"/>
        </w:rPr>
        <w:t>de</w:t>
      </w:r>
      <w:r>
        <w:rPr>
          <w:b/>
          <w:spacing w:val="-17"/>
          <w:sz w:val="28"/>
        </w:rPr>
        <w:t> </w:t>
      </w:r>
      <w:r>
        <w:rPr>
          <w:b/>
          <w:sz w:val="28"/>
        </w:rPr>
        <w:t>HeroFest</w:t>
      </w:r>
    </w:p>
    <w:p>
      <w:pPr>
        <w:pStyle w:val="Heading1"/>
        <w:spacing w:line="276" w:lineRule="auto" w:before="186"/>
        <w:ind w:right="115"/>
      </w:pPr>
      <w:r>
        <w:rPr>
          <w:b w:val="0"/>
        </w:rPr>
        <w:t>Berne, le 14 août 2018 – </w:t>
      </w:r>
      <w:r>
        <w:rPr/>
        <w:t>Du 12 au 14 octobre 2018, le site de BERNEXPO fera place à un univers fantastique : gamers, geeks et cosplayers trouveront leur bonheur à l’occasion</w:t>
      </w:r>
      <w:r>
        <w:rPr>
          <w:spacing w:val="-36"/>
        </w:rPr>
        <w:t> </w:t>
      </w:r>
      <w:r>
        <w:rPr/>
        <w:t>de la première édition de HeroFest. L’un des moments forts : le premier tour de League of Legends, développé par Riot Games, promet d’être riche en action avec une compétition dotée d’un prix de 25 000</w:t>
      </w:r>
      <w:r>
        <w:rPr>
          <w:spacing w:val="-3"/>
        </w:rPr>
        <w:t> </w:t>
      </w:r>
      <w:r>
        <w:rPr/>
        <w:t>euros.</w:t>
      </w:r>
    </w:p>
    <w:p>
      <w:pPr>
        <w:pStyle w:val="BodyText"/>
        <w:spacing w:before="2"/>
        <w:rPr>
          <w:b/>
          <w:sz w:val="25"/>
        </w:rPr>
      </w:pPr>
    </w:p>
    <w:p>
      <w:pPr>
        <w:pStyle w:val="BodyText"/>
        <w:spacing w:line="276" w:lineRule="auto" w:before="1"/>
        <w:ind w:left="116" w:right="112"/>
        <w:jc w:val="both"/>
      </w:pPr>
      <w:r>
        <w:rPr/>
        <w:t>Les fans de MOBA (Multiplayer Online Battle Arena ou « arène de bataille en ligne multijoueur»)  peuvent  déjà  marquer  en  rouge  dans  leur  calendrier  les  dates  du  13 et  du 14 octobre 2018. Pendant ces deux jours, l’un des MOBA les plus appréciés dans le monde entier aura lieu dans le cadre de HeroFest, qui accueille donc le premier tour de League of Legends. Le site de BERNEXPO, avec la première édition de HeroFest, est l’un des huit lieux de transmission où se rassembleront des équipes professionnelles pour tenter de remporter des points et se qualifier pour les European Masters. </w:t>
      </w:r>
      <w:r>
        <w:rPr>
          <w:spacing w:val="-3"/>
        </w:rPr>
        <w:t>Le </w:t>
      </w:r>
      <w:r>
        <w:rPr/>
        <w:t>premier et unique  événement officiel  Riot Games en Suisse ne constitue pas seulement un jalon pour la scène de l’e-sport national. Avec un prix de 25 000 euros, cet événement est aussi le tournoi e-sport le mieux doté, jamais retransmis en</w:t>
      </w:r>
      <w:r>
        <w:rPr>
          <w:spacing w:val="-1"/>
        </w:rPr>
        <w:t> </w:t>
      </w:r>
      <w:r>
        <w:rPr/>
        <w:t>Suisse.</w:t>
      </w:r>
    </w:p>
    <w:p>
      <w:pPr>
        <w:pStyle w:val="BodyText"/>
        <w:spacing w:before="8"/>
        <w:rPr>
          <w:sz w:val="27"/>
        </w:rPr>
      </w:pPr>
    </w:p>
    <w:p>
      <w:pPr>
        <w:pStyle w:val="Heading1"/>
      </w:pPr>
      <w:r>
        <w:rPr/>
        <w:t>Nerfs solides obligatoires dans la phase éliminatoire</w:t>
      </w:r>
    </w:p>
    <w:p>
      <w:pPr>
        <w:pStyle w:val="BodyText"/>
        <w:spacing w:line="276" w:lineRule="auto" w:before="41"/>
        <w:ind w:left="116" w:right="114"/>
        <w:jc w:val="both"/>
      </w:pPr>
      <w:r>
        <w:rPr/>
        <w:t>Le premier tour comprenant des événements en ligne et hors ligne commence tout doucement avant de monter en puissance. L’objectif : les European Masters où s’affrontent deux fois par an</w:t>
      </w:r>
      <w:r>
        <w:rPr>
          <w:spacing w:val="-13"/>
        </w:rPr>
        <w:t> </w:t>
      </w:r>
      <w:r>
        <w:rPr/>
        <w:t>les</w:t>
      </w:r>
      <w:r>
        <w:rPr>
          <w:spacing w:val="-14"/>
        </w:rPr>
        <w:t> </w:t>
      </w:r>
      <w:r>
        <w:rPr/>
        <w:t>meilleures</w:t>
      </w:r>
      <w:r>
        <w:rPr>
          <w:spacing w:val="-13"/>
        </w:rPr>
        <w:t> </w:t>
      </w:r>
      <w:r>
        <w:rPr/>
        <w:t>équipes</w:t>
      </w:r>
      <w:r>
        <w:rPr>
          <w:spacing w:val="-9"/>
        </w:rPr>
        <w:t> </w:t>
      </w:r>
      <w:r>
        <w:rPr/>
        <w:t>pour</w:t>
      </w:r>
      <w:r>
        <w:rPr>
          <w:spacing w:val="-14"/>
        </w:rPr>
        <w:t> </w:t>
      </w:r>
      <w:r>
        <w:rPr/>
        <w:t>couronner</w:t>
      </w:r>
      <w:r>
        <w:rPr>
          <w:spacing w:val="-14"/>
        </w:rPr>
        <w:t> </w:t>
      </w:r>
      <w:r>
        <w:rPr/>
        <w:t>le</w:t>
      </w:r>
      <w:r>
        <w:rPr>
          <w:spacing w:val="-12"/>
        </w:rPr>
        <w:t> </w:t>
      </w:r>
      <w:r>
        <w:rPr/>
        <w:t>vainqueur.</w:t>
      </w:r>
      <w:r>
        <w:rPr>
          <w:spacing w:val="-10"/>
        </w:rPr>
        <w:t> </w:t>
      </w:r>
      <w:r>
        <w:rPr/>
        <w:t>Les</w:t>
      </w:r>
      <w:r>
        <w:rPr>
          <w:spacing w:val="-11"/>
        </w:rPr>
        <w:t> </w:t>
      </w:r>
      <w:r>
        <w:rPr/>
        <w:t>équipes</w:t>
      </w:r>
      <w:r>
        <w:rPr>
          <w:spacing w:val="-14"/>
        </w:rPr>
        <w:t> </w:t>
      </w:r>
      <w:r>
        <w:rPr/>
        <w:t>doivent</w:t>
      </w:r>
      <w:r>
        <w:rPr>
          <w:spacing w:val="-13"/>
        </w:rPr>
        <w:t> </w:t>
      </w:r>
      <w:r>
        <w:rPr/>
        <w:t>se</w:t>
      </w:r>
      <w:r>
        <w:rPr>
          <w:spacing w:val="-14"/>
        </w:rPr>
        <w:t> </w:t>
      </w:r>
      <w:r>
        <w:rPr/>
        <w:t>qualifier</w:t>
      </w:r>
      <w:r>
        <w:rPr>
          <w:spacing w:val="-12"/>
        </w:rPr>
        <w:t> </w:t>
      </w:r>
      <w:r>
        <w:rPr/>
        <w:t>au</w:t>
      </w:r>
      <w:r>
        <w:rPr>
          <w:spacing w:val="-11"/>
        </w:rPr>
        <w:t> </w:t>
      </w:r>
      <w:r>
        <w:rPr/>
        <w:t>cours de deux phases pour participer à l’événement très chaud de HeroFest. Il est encore possible de s’inscrire pour la qualification ouverte. Seules huit équipes resteront en jeu après la phase d’élimination et  s’affronteront  entre  elles  au  cours  de  la  qualification  fermée.  Les  quatre meilleures équipes auront ensuite la chance de se rendre à</w:t>
      </w:r>
      <w:r>
        <w:rPr>
          <w:spacing w:val="-5"/>
        </w:rPr>
        <w:t> </w:t>
      </w:r>
      <w:r>
        <w:rPr/>
        <w:t>Berne.</w:t>
      </w:r>
    </w:p>
    <w:p>
      <w:pPr>
        <w:pStyle w:val="BodyText"/>
        <w:spacing w:before="7"/>
        <w:rPr>
          <w:sz w:val="27"/>
        </w:rPr>
      </w:pPr>
    </w:p>
    <w:p>
      <w:pPr>
        <w:pStyle w:val="Heading1"/>
      </w:pPr>
      <w:r>
        <w:rPr/>
        <w:t>Être de la partie sur place et vivre la finale</w:t>
      </w:r>
    </w:p>
    <w:p>
      <w:pPr>
        <w:pStyle w:val="BodyText"/>
        <w:spacing w:line="276" w:lineRule="auto" w:before="41"/>
        <w:ind w:left="116" w:right="116"/>
        <w:jc w:val="both"/>
      </w:pPr>
      <w:r>
        <w:rPr/>
        <w:t>La demi-finale aura lieu à Berne le samedi dans le cadre de HeroFest, la petite et la grande finale étant fixées au dimanche. Les visiteurs vivront des parties à couper le souffle, au cours desquelles les équipes tireront le maximum de leurs champions. Les équipes d’Allemagne, d’Autriche</w:t>
      </w:r>
      <w:r>
        <w:rPr>
          <w:spacing w:val="-12"/>
        </w:rPr>
        <w:t> </w:t>
      </w:r>
      <w:r>
        <w:rPr/>
        <w:t>et</w:t>
      </w:r>
      <w:r>
        <w:rPr>
          <w:spacing w:val="-11"/>
        </w:rPr>
        <w:t> </w:t>
      </w:r>
      <w:r>
        <w:rPr/>
        <w:t>de</w:t>
      </w:r>
      <w:r>
        <w:rPr>
          <w:spacing w:val="-12"/>
        </w:rPr>
        <w:t> </w:t>
      </w:r>
      <w:r>
        <w:rPr/>
        <w:t>Suisse</w:t>
      </w:r>
      <w:r>
        <w:rPr>
          <w:spacing w:val="-12"/>
        </w:rPr>
        <w:t> </w:t>
      </w:r>
      <w:r>
        <w:rPr/>
        <w:t>ne</w:t>
      </w:r>
      <w:r>
        <w:rPr>
          <w:spacing w:val="-12"/>
        </w:rPr>
        <w:t> </w:t>
      </w:r>
      <w:r>
        <w:rPr/>
        <w:t>jouent</w:t>
      </w:r>
      <w:r>
        <w:rPr>
          <w:spacing w:val="-11"/>
        </w:rPr>
        <w:t> </w:t>
      </w:r>
      <w:r>
        <w:rPr/>
        <w:t>pas</w:t>
      </w:r>
      <w:r>
        <w:rPr>
          <w:spacing w:val="-11"/>
        </w:rPr>
        <w:t> </w:t>
      </w:r>
      <w:r>
        <w:rPr/>
        <w:t>seulement</w:t>
      </w:r>
      <w:r>
        <w:rPr>
          <w:spacing w:val="-11"/>
        </w:rPr>
        <w:t> </w:t>
      </w:r>
      <w:r>
        <w:rPr/>
        <w:t>pour</w:t>
      </w:r>
      <w:r>
        <w:rPr>
          <w:spacing w:val="-12"/>
        </w:rPr>
        <w:t> </w:t>
      </w:r>
      <w:r>
        <w:rPr/>
        <w:t>se</w:t>
      </w:r>
      <w:r>
        <w:rPr>
          <w:spacing w:val="-12"/>
        </w:rPr>
        <w:t> </w:t>
      </w:r>
      <w:r>
        <w:rPr/>
        <w:t>classer</w:t>
      </w:r>
      <w:r>
        <w:rPr>
          <w:spacing w:val="-12"/>
        </w:rPr>
        <w:t> </w:t>
      </w:r>
      <w:r>
        <w:rPr/>
        <w:t>entre</w:t>
      </w:r>
      <w:r>
        <w:rPr>
          <w:spacing w:val="-12"/>
        </w:rPr>
        <w:t> </w:t>
      </w:r>
      <w:r>
        <w:rPr/>
        <w:t>la</w:t>
      </w:r>
      <w:r>
        <w:rPr>
          <w:spacing w:val="-12"/>
        </w:rPr>
        <w:t> </w:t>
      </w:r>
      <w:r>
        <w:rPr/>
        <w:t>première</w:t>
      </w:r>
      <w:r>
        <w:rPr>
          <w:spacing w:val="-12"/>
        </w:rPr>
        <w:t> </w:t>
      </w:r>
      <w:r>
        <w:rPr/>
        <w:t>et</w:t>
      </w:r>
      <w:r>
        <w:rPr>
          <w:spacing w:val="-11"/>
        </w:rPr>
        <w:t> </w:t>
      </w:r>
      <w:r>
        <w:rPr/>
        <w:t>la</w:t>
      </w:r>
      <w:r>
        <w:rPr>
          <w:spacing w:val="-12"/>
        </w:rPr>
        <w:t> </w:t>
      </w:r>
      <w:r>
        <w:rPr/>
        <w:t>quatrième place, mais aussi pour obtenir de précieux points en vue des European Masters. La somme d’argent mise en jeu est également des plus motivantes. En prenant un billet deux jours, vous pourrez suivre sur place tous les matchs. </w:t>
      </w:r>
      <w:r>
        <w:rPr>
          <w:spacing w:val="-3"/>
        </w:rPr>
        <w:t>Les </w:t>
      </w:r>
      <w:r>
        <w:rPr/>
        <w:t>billets sont disponibles sur </w:t>
      </w:r>
      <w:hyperlink r:id="rId6">
        <w:r>
          <w:rPr/>
          <w:t>www.herofest.ch/tickets.</w:t>
        </w:r>
      </w:hyperlink>
    </w:p>
    <w:p>
      <w:pPr>
        <w:pStyle w:val="BodyText"/>
        <w:spacing w:before="10"/>
        <w:rPr>
          <w:sz w:val="27"/>
        </w:rPr>
      </w:pPr>
    </w:p>
    <w:p>
      <w:pPr>
        <w:pStyle w:val="Heading1"/>
      </w:pPr>
      <w:r>
        <w:rPr/>
        <w:t>Images</w:t>
      </w:r>
    </w:p>
    <w:p>
      <w:pPr>
        <w:pStyle w:val="BodyText"/>
        <w:spacing w:before="41"/>
        <w:ind w:left="116" w:right="114"/>
        <w:jc w:val="both"/>
      </w:pPr>
      <w:r>
        <w:rPr/>
        <w:t>Vous trouverez plus d’informations sur ce tour sur </w:t>
      </w:r>
      <w:hyperlink r:id="rId7">
        <w:r>
          <w:rPr>
            <w:color w:val="0462C1"/>
            <w:u w:val="single" w:color="0462C1"/>
          </w:rPr>
          <w:t>https://eu.lolesports.com/de/premier-tour</w:t>
        </w:r>
      </w:hyperlink>
      <w:r>
        <w:rPr/>
        <w:t>. Les images de la convention sont disponibles pour le téléchargement sur le site </w:t>
      </w:r>
      <w:hyperlink r:id="rId8">
        <w:r>
          <w:rPr>
            <w:color w:val="0462C1"/>
            <w:u w:val="single" w:color="0462C1"/>
          </w:rPr>
          <w:t>www.herofest.ch/medien</w:t>
        </w:r>
        <w:r>
          <w:rPr/>
          <w:t>.</w:t>
        </w:r>
      </w:hyperlink>
    </w:p>
    <w:p>
      <w:pPr>
        <w:spacing w:after="0"/>
        <w:jc w:val="both"/>
        <w:sectPr>
          <w:type w:val="continuous"/>
          <w:pgSz w:w="11910" w:h="16840"/>
          <w:pgMar w:top="680" w:bottom="280" w:left="1300" w:right="1300"/>
        </w:sectPr>
      </w:pPr>
    </w:p>
    <w:p>
      <w:pPr>
        <w:pStyle w:val="Heading1"/>
        <w:spacing w:before="76"/>
        <w:jc w:val="left"/>
      </w:pPr>
      <w:r>
        <w:rPr/>
        <w:t>Informations complémentaires</w:t>
      </w:r>
    </w:p>
    <w:p>
      <w:pPr>
        <w:pStyle w:val="BodyText"/>
        <w:spacing w:before="44"/>
        <w:ind w:left="116"/>
      </w:pPr>
      <w:r>
        <w:rPr/>
        <w:t>Adrian Erni, responsable des relations presse, +41 79 464 64 59, </w:t>
      </w:r>
      <w:hyperlink r:id="rId9">
        <w:r>
          <w:rPr>
            <w:color w:val="0462C1"/>
            <w:u w:val="single" w:color="0462C1"/>
          </w:rPr>
          <w:t>adrian.erni@bernexpo.ch</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13"/>
        <w:gridCol w:w="5051"/>
      </w:tblGrid>
      <w:tr>
        <w:trPr>
          <w:trHeight w:val="348" w:hRule="atLeast"/>
        </w:trPr>
        <w:tc>
          <w:tcPr>
            <w:tcW w:w="9064" w:type="dxa"/>
            <w:gridSpan w:val="2"/>
            <w:tcBorders>
              <w:top w:val="single" w:sz="4" w:space="0" w:color="000000"/>
              <w:left w:val="single" w:sz="4" w:space="0" w:color="000000"/>
              <w:right w:val="single" w:sz="4" w:space="0" w:color="000000"/>
            </w:tcBorders>
          </w:tcPr>
          <w:p>
            <w:pPr>
              <w:pStyle w:val="TableParagraph"/>
              <w:ind w:left="3565" w:right="3554"/>
              <w:jc w:val="center"/>
              <w:rPr>
                <w:b/>
                <w:sz w:val="20"/>
              </w:rPr>
            </w:pPr>
            <w:r>
              <w:rPr>
                <w:b/>
                <w:sz w:val="20"/>
              </w:rPr>
              <w:t>HeroFest 2018 en bref</w:t>
            </w:r>
          </w:p>
        </w:tc>
      </w:tr>
      <w:tr>
        <w:trPr>
          <w:trHeight w:val="344" w:hRule="atLeast"/>
        </w:trPr>
        <w:tc>
          <w:tcPr>
            <w:tcW w:w="4013" w:type="dxa"/>
            <w:tcBorders>
              <w:left w:val="single" w:sz="4" w:space="0" w:color="000000"/>
            </w:tcBorders>
          </w:tcPr>
          <w:p>
            <w:pPr>
              <w:pStyle w:val="TableParagraph"/>
              <w:spacing w:line="215" w:lineRule="exact" w:before="109"/>
              <w:ind w:left="110"/>
              <w:rPr>
                <w:b/>
                <w:sz w:val="20"/>
              </w:rPr>
            </w:pPr>
            <w:r>
              <w:rPr>
                <w:b/>
                <w:sz w:val="20"/>
              </w:rPr>
              <w:t>Dates</w:t>
            </w:r>
          </w:p>
        </w:tc>
        <w:tc>
          <w:tcPr>
            <w:tcW w:w="5051" w:type="dxa"/>
            <w:tcBorders>
              <w:right w:val="single" w:sz="4" w:space="0" w:color="000000"/>
            </w:tcBorders>
          </w:tcPr>
          <w:p>
            <w:pPr>
              <w:pStyle w:val="TableParagraph"/>
              <w:spacing w:line="215" w:lineRule="exact" w:before="109"/>
              <w:rPr>
                <w:sz w:val="20"/>
              </w:rPr>
            </w:pPr>
            <w:r>
              <w:rPr>
                <w:sz w:val="20"/>
              </w:rPr>
              <w:t>Du 12 au 14 octobre 2018</w:t>
            </w:r>
          </w:p>
        </w:tc>
      </w:tr>
      <w:tr>
        <w:trPr>
          <w:trHeight w:val="345" w:hRule="atLeast"/>
        </w:trPr>
        <w:tc>
          <w:tcPr>
            <w:tcW w:w="4013" w:type="dxa"/>
            <w:tcBorders>
              <w:left w:val="single" w:sz="4" w:space="0" w:color="000000"/>
            </w:tcBorders>
          </w:tcPr>
          <w:p>
            <w:pPr>
              <w:pStyle w:val="TableParagraph"/>
              <w:spacing w:line="226" w:lineRule="exact"/>
              <w:ind w:left="110"/>
              <w:rPr>
                <w:b/>
                <w:sz w:val="20"/>
              </w:rPr>
            </w:pPr>
            <w:r>
              <w:rPr>
                <w:b/>
                <w:sz w:val="20"/>
              </w:rPr>
              <w:t>Lieu</w:t>
            </w:r>
          </w:p>
        </w:tc>
        <w:tc>
          <w:tcPr>
            <w:tcW w:w="5051" w:type="dxa"/>
            <w:tcBorders>
              <w:right w:val="single" w:sz="4" w:space="0" w:color="000000"/>
            </w:tcBorders>
          </w:tcPr>
          <w:p>
            <w:pPr>
              <w:pStyle w:val="TableParagraph"/>
              <w:spacing w:line="226" w:lineRule="exact"/>
              <w:rPr>
                <w:sz w:val="20"/>
              </w:rPr>
            </w:pPr>
            <w:r>
              <w:rPr>
                <w:sz w:val="20"/>
              </w:rPr>
              <w:t>Site de BERNEXPO</w:t>
            </w:r>
          </w:p>
        </w:tc>
      </w:tr>
      <w:tr>
        <w:trPr>
          <w:trHeight w:val="919" w:hRule="atLeast"/>
        </w:trPr>
        <w:tc>
          <w:tcPr>
            <w:tcW w:w="4013" w:type="dxa"/>
            <w:tcBorders>
              <w:left w:val="single" w:sz="4" w:space="0" w:color="000000"/>
            </w:tcBorders>
          </w:tcPr>
          <w:p>
            <w:pPr>
              <w:pStyle w:val="TableParagraph"/>
              <w:spacing w:before="111"/>
              <w:ind w:left="110"/>
              <w:rPr>
                <w:b/>
                <w:sz w:val="20"/>
              </w:rPr>
            </w:pPr>
            <w:r>
              <w:rPr>
                <w:b/>
                <w:sz w:val="20"/>
              </w:rPr>
              <w:t>Organisateur</w:t>
            </w:r>
          </w:p>
        </w:tc>
        <w:tc>
          <w:tcPr>
            <w:tcW w:w="5051" w:type="dxa"/>
            <w:tcBorders>
              <w:right w:val="single" w:sz="4" w:space="0" w:color="000000"/>
            </w:tcBorders>
          </w:tcPr>
          <w:p>
            <w:pPr>
              <w:pStyle w:val="TableParagraph"/>
              <w:spacing w:before="111"/>
              <w:ind w:right="85"/>
              <w:rPr>
                <w:sz w:val="20"/>
              </w:rPr>
            </w:pPr>
            <w:r>
              <w:rPr>
                <w:sz w:val="20"/>
              </w:rPr>
              <w:t>BERNEXPO AG, Mingerstrasse 6, Case postale, CH- 3000 Berne 22 Tél.: +41 31 340 12 99, Fax: +41 31</w:t>
            </w:r>
          </w:p>
          <w:p>
            <w:pPr>
              <w:pStyle w:val="TableParagraph"/>
              <w:spacing w:line="228" w:lineRule="exact"/>
              <w:rPr>
                <w:sz w:val="20"/>
              </w:rPr>
            </w:pPr>
            <w:r>
              <w:rPr>
                <w:sz w:val="20"/>
              </w:rPr>
              <w:t>340 11 10</w:t>
            </w:r>
          </w:p>
        </w:tc>
      </w:tr>
      <w:tr>
        <w:trPr>
          <w:trHeight w:val="1149" w:hRule="atLeast"/>
        </w:trPr>
        <w:tc>
          <w:tcPr>
            <w:tcW w:w="4013" w:type="dxa"/>
            <w:tcBorders>
              <w:left w:val="single" w:sz="4" w:space="0" w:color="000000"/>
            </w:tcBorders>
          </w:tcPr>
          <w:p>
            <w:pPr>
              <w:pStyle w:val="TableParagraph"/>
              <w:spacing w:before="111"/>
              <w:ind w:left="110"/>
              <w:rPr>
                <w:b/>
                <w:sz w:val="20"/>
              </w:rPr>
            </w:pPr>
            <w:r>
              <w:rPr>
                <w:b/>
                <w:sz w:val="20"/>
              </w:rPr>
              <w:t>Agence exécutrice</w:t>
            </w:r>
          </w:p>
          <w:p>
            <w:pPr>
              <w:pStyle w:val="TableParagraph"/>
              <w:ind w:left="0"/>
              <w:rPr>
                <w:sz w:val="22"/>
              </w:rPr>
            </w:pPr>
          </w:p>
          <w:p>
            <w:pPr>
              <w:pStyle w:val="TableParagraph"/>
              <w:spacing w:before="10"/>
              <w:ind w:left="0"/>
              <w:rPr>
                <w:sz w:val="17"/>
              </w:rPr>
            </w:pPr>
          </w:p>
          <w:p>
            <w:pPr>
              <w:pStyle w:val="TableParagraph"/>
              <w:ind w:left="110"/>
              <w:rPr>
                <w:b/>
                <w:sz w:val="20"/>
              </w:rPr>
            </w:pPr>
            <w:r>
              <w:rPr>
                <w:b/>
                <w:sz w:val="20"/>
              </w:rPr>
              <w:t>Horaires d’ouverture</w:t>
            </w:r>
          </w:p>
        </w:tc>
        <w:tc>
          <w:tcPr>
            <w:tcW w:w="5051" w:type="dxa"/>
            <w:tcBorders>
              <w:right w:val="single" w:sz="4" w:space="0" w:color="000000"/>
            </w:tcBorders>
          </w:tcPr>
          <w:p>
            <w:pPr>
              <w:pStyle w:val="TableParagraph"/>
              <w:spacing w:before="111"/>
              <w:rPr>
                <w:sz w:val="20"/>
              </w:rPr>
            </w:pPr>
            <w:r>
              <w:rPr>
                <w:sz w:val="20"/>
              </w:rPr>
              <w:t>MYI Entertainment GmbH, Lindachstrasse 26, CH- 3038 Kirchlindach</w:t>
            </w:r>
          </w:p>
          <w:p>
            <w:pPr>
              <w:pStyle w:val="TableParagraph"/>
              <w:spacing w:before="10"/>
              <w:ind w:left="0"/>
              <w:rPr>
                <w:sz w:val="19"/>
              </w:rPr>
            </w:pPr>
          </w:p>
          <w:p>
            <w:pPr>
              <w:pStyle w:val="TableParagraph"/>
              <w:rPr>
                <w:sz w:val="20"/>
              </w:rPr>
            </w:pPr>
            <w:r>
              <w:rPr>
                <w:sz w:val="20"/>
              </w:rPr>
              <w:t>Tous les jours de 10h à 18h</w:t>
            </w:r>
          </w:p>
        </w:tc>
      </w:tr>
      <w:tr>
        <w:trPr>
          <w:trHeight w:val="345" w:hRule="atLeast"/>
        </w:trPr>
        <w:tc>
          <w:tcPr>
            <w:tcW w:w="4013" w:type="dxa"/>
            <w:tcBorders>
              <w:left w:val="single" w:sz="4" w:space="0" w:color="000000"/>
            </w:tcBorders>
          </w:tcPr>
          <w:p>
            <w:pPr>
              <w:pStyle w:val="TableParagraph"/>
              <w:spacing w:line="215" w:lineRule="exact" w:before="111"/>
              <w:ind w:left="110"/>
              <w:rPr>
                <w:b/>
                <w:sz w:val="20"/>
              </w:rPr>
            </w:pPr>
            <w:r>
              <w:rPr>
                <w:b/>
                <w:sz w:val="20"/>
              </w:rPr>
              <w:t>Entrée</w:t>
            </w:r>
          </w:p>
        </w:tc>
        <w:tc>
          <w:tcPr>
            <w:tcW w:w="5051" w:type="dxa"/>
            <w:tcBorders>
              <w:right w:val="single" w:sz="4" w:space="0" w:color="000000"/>
            </w:tcBorders>
          </w:tcPr>
          <w:p>
            <w:pPr>
              <w:pStyle w:val="TableParagraph"/>
              <w:ind w:left="0"/>
              <w:rPr>
                <w:sz w:val="18"/>
              </w:rPr>
            </w:pPr>
          </w:p>
        </w:tc>
      </w:tr>
      <w:tr>
        <w:trPr>
          <w:trHeight w:val="230" w:hRule="atLeast"/>
        </w:trPr>
        <w:tc>
          <w:tcPr>
            <w:tcW w:w="4013" w:type="dxa"/>
            <w:tcBorders>
              <w:left w:val="single" w:sz="4" w:space="0" w:color="000000"/>
            </w:tcBorders>
          </w:tcPr>
          <w:p>
            <w:pPr>
              <w:pStyle w:val="TableParagraph"/>
              <w:spacing w:line="210" w:lineRule="exact"/>
              <w:ind w:left="110"/>
              <w:rPr>
                <w:sz w:val="20"/>
              </w:rPr>
            </w:pPr>
            <w:r>
              <w:rPr>
                <w:sz w:val="20"/>
              </w:rPr>
              <w:t>Billet journée adulte</w:t>
            </w:r>
          </w:p>
        </w:tc>
        <w:tc>
          <w:tcPr>
            <w:tcW w:w="5051" w:type="dxa"/>
            <w:tcBorders>
              <w:right w:val="single" w:sz="4" w:space="0" w:color="000000"/>
            </w:tcBorders>
          </w:tcPr>
          <w:p>
            <w:pPr>
              <w:pStyle w:val="TableParagraph"/>
              <w:spacing w:line="210" w:lineRule="exact"/>
              <w:rPr>
                <w:sz w:val="20"/>
              </w:rPr>
            </w:pPr>
            <w:r>
              <w:rPr>
                <w:sz w:val="20"/>
              </w:rPr>
              <w:t>CHF 28.–</w:t>
            </w:r>
          </w:p>
        </w:tc>
      </w:tr>
      <w:tr>
        <w:trPr>
          <w:trHeight w:val="230" w:hRule="atLeast"/>
        </w:trPr>
        <w:tc>
          <w:tcPr>
            <w:tcW w:w="4013" w:type="dxa"/>
            <w:tcBorders>
              <w:left w:val="single" w:sz="4" w:space="0" w:color="000000"/>
            </w:tcBorders>
          </w:tcPr>
          <w:p>
            <w:pPr>
              <w:pStyle w:val="TableParagraph"/>
              <w:spacing w:line="210" w:lineRule="exact"/>
              <w:ind w:left="110"/>
              <w:rPr>
                <w:sz w:val="20"/>
              </w:rPr>
            </w:pPr>
            <w:r>
              <w:rPr>
                <w:sz w:val="20"/>
              </w:rPr>
              <w:t>Billet journée enfant (6 à 12 ans)</w:t>
            </w:r>
          </w:p>
        </w:tc>
        <w:tc>
          <w:tcPr>
            <w:tcW w:w="5051" w:type="dxa"/>
            <w:tcBorders>
              <w:right w:val="single" w:sz="4" w:space="0" w:color="000000"/>
            </w:tcBorders>
          </w:tcPr>
          <w:p>
            <w:pPr>
              <w:pStyle w:val="TableParagraph"/>
              <w:spacing w:line="210" w:lineRule="exact"/>
              <w:rPr>
                <w:sz w:val="20"/>
              </w:rPr>
            </w:pPr>
            <w:r>
              <w:rPr>
                <w:sz w:val="20"/>
              </w:rPr>
              <w:t>CHF 20.–</w:t>
            </w:r>
          </w:p>
        </w:tc>
      </w:tr>
      <w:tr>
        <w:trPr>
          <w:trHeight w:val="229" w:hRule="atLeast"/>
        </w:trPr>
        <w:tc>
          <w:tcPr>
            <w:tcW w:w="4013" w:type="dxa"/>
            <w:tcBorders>
              <w:left w:val="single" w:sz="4" w:space="0" w:color="000000"/>
            </w:tcBorders>
          </w:tcPr>
          <w:p>
            <w:pPr>
              <w:pStyle w:val="TableParagraph"/>
              <w:spacing w:line="209" w:lineRule="exact"/>
              <w:ind w:left="110"/>
              <w:rPr>
                <w:sz w:val="20"/>
              </w:rPr>
            </w:pPr>
            <w:r>
              <w:rPr>
                <w:sz w:val="20"/>
              </w:rPr>
              <w:t>Billet deux jours adulte</w:t>
            </w:r>
          </w:p>
        </w:tc>
        <w:tc>
          <w:tcPr>
            <w:tcW w:w="5051" w:type="dxa"/>
            <w:tcBorders>
              <w:right w:val="single" w:sz="4" w:space="0" w:color="000000"/>
            </w:tcBorders>
          </w:tcPr>
          <w:p>
            <w:pPr>
              <w:pStyle w:val="TableParagraph"/>
              <w:spacing w:line="209" w:lineRule="exact"/>
              <w:rPr>
                <w:sz w:val="20"/>
              </w:rPr>
            </w:pPr>
            <w:r>
              <w:rPr>
                <w:sz w:val="20"/>
              </w:rPr>
              <w:t>CHF 45.–</w:t>
            </w:r>
          </w:p>
        </w:tc>
      </w:tr>
      <w:tr>
        <w:trPr>
          <w:trHeight w:val="459" w:hRule="atLeast"/>
        </w:trPr>
        <w:tc>
          <w:tcPr>
            <w:tcW w:w="4013" w:type="dxa"/>
            <w:tcBorders>
              <w:left w:val="single" w:sz="4" w:space="0" w:color="000000"/>
            </w:tcBorders>
          </w:tcPr>
          <w:p>
            <w:pPr>
              <w:pStyle w:val="TableParagraph"/>
              <w:spacing w:line="224" w:lineRule="exact"/>
              <w:ind w:left="110"/>
              <w:rPr>
                <w:sz w:val="20"/>
              </w:rPr>
            </w:pPr>
            <w:r>
              <w:rPr>
                <w:sz w:val="20"/>
              </w:rPr>
              <w:t>Carte d’abonnement Early bird (jusqu’au</w:t>
            </w:r>
          </w:p>
          <w:p>
            <w:pPr>
              <w:pStyle w:val="TableParagraph"/>
              <w:spacing w:line="215" w:lineRule="exact"/>
              <w:ind w:left="110"/>
              <w:rPr>
                <w:sz w:val="20"/>
              </w:rPr>
            </w:pPr>
            <w:r>
              <w:rPr>
                <w:sz w:val="20"/>
              </w:rPr>
              <w:t>31 août 2018)</w:t>
            </w:r>
          </w:p>
        </w:tc>
        <w:tc>
          <w:tcPr>
            <w:tcW w:w="5051" w:type="dxa"/>
            <w:tcBorders>
              <w:right w:val="single" w:sz="4" w:space="0" w:color="000000"/>
            </w:tcBorders>
          </w:tcPr>
          <w:p>
            <w:pPr>
              <w:pStyle w:val="TableParagraph"/>
              <w:spacing w:line="224" w:lineRule="exact"/>
              <w:rPr>
                <w:sz w:val="20"/>
              </w:rPr>
            </w:pPr>
            <w:r>
              <w:rPr>
                <w:sz w:val="20"/>
              </w:rPr>
              <w:t>CHF 45.– (au lieu de CHF 65.–)</w:t>
            </w:r>
          </w:p>
        </w:tc>
      </w:tr>
      <w:tr>
        <w:trPr>
          <w:trHeight w:val="230" w:hRule="atLeast"/>
        </w:trPr>
        <w:tc>
          <w:tcPr>
            <w:tcW w:w="4013" w:type="dxa"/>
            <w:tcBorders>
              <w:left w:val="single" w:sz="4" w:space="0" w:color="000000"/>
            </w:tcBorders>
          </w:tcPr>
          <w:p>
            <w:pPr>
              <w:pStyle w:val="TableParagraph"/>
              <w:spacing w:line="210" w:lineRule="exact"/>
              <w:ind w:left="110"/>
              <w:rPr>
                <w:b/>
                <w:sz w:val="20"/>
              </w:rPr>
            </w:pPr>
            <w:r>
              <w:rPr>
                <w:b/>
                <w:sz w:val="20"/>
              </w:rPr>
              <w:t>Domaines</w:t>
            </w:r>
          </w:p>
        </w:tc>
        <w:tc>
          <w:tcPr>
            <w:tcW w:w="5051" w:type="dxa"/>
            <w:tcBorders>
              <w:right w:val="single" w:sz="4" w:space="0" w:color="000000"/>
            </w:tcBorders>
          </w:tcPr>
          <w:p>
            <w:pPr>
              <w:pStyle w:val="TableParagraph"/>
              <w:spacing w:line="210" w:lineRule="exact"/>
              <w:rPr>
                <w:sz w:val="20"/>
              </w:rPr>
            </w:pPr>
            <w:r>
              <w:rPr>
                <w:sz w:val="20"/>
              </w:rPr>
              <w:t>Gaming, Fantasy, Offline</w:t>
            </w:r>
          </w:p>
        </w:tc>
      </w:tr>
      <w:tr>
        <w:trPr>
          <w:trHeight w:val="230" w:hRule="atLeast"/>
        </w:trPr>
        <w:tc>
          <w:tcPr>
            <w:tcW w:w="4013" w:type="dxa"/>
            <w:tcBorders>
              <w:left w:val="single" w:sz="4" w:space="0" w:color="000000"/>
            </w:tcBorders>
          </w:tcPr>
          <w:p>
            <w:pPr>
              <w:pStyle w:val="TableParagraph"/>
              <w:spacing w:line="210" w:lineRule="exact"/>
              <w:ind w:left="110"/>
              <w:rPr>
                <w:b/>
                <w:sz w:val="20"/>
              </w:rPr>
            </w:pPr>
            <w:r>
              <w:rPr>
                <w:b/>
                <w:sz w:val="20"/>
              </w:rPr>
              <w:t>Site Web</w:t>
            </w:r>
          </w:p>
        </w:tc>
        <w:tc>
          <w:tcPr>
            <w:tcW w:w="5051" w:type="dxa"/>
            <w:tcBorders>
              <w:right w:val="single" w:sz="4" w:space="0" w:color="000000"/>
            </w:tcBorders>
          </w:tcPr>
          <w:p>
            <w:pPr>
              <w:pStyle w:val="TableParagraph"/>
              <w:spacing w:line="210" w:lineRule="exact"/>
              <w:rPr>
                <w:sz w:val="20"/>
              </w:rPr>
            </w:pPr>
            <w:hyperlink r:id="rId10">
              <w:r>
                <w:rPr>
                  <w:color w:val="0462C1"/>
                  <w:sz w:val="20"/>
                  <w:u w:val="single" w:color="0462C1"/>
                </w:rPr>
                <w:t>www.herofest.ch/fr/</w:t>
              </w:r>
            </w:hyperlink>
          </w:p>
        </w:tc>
      </w:tr>
      <w:tr>
        <w:trPr>
          <w:trHeight w:val="344" w:hRule="atLeast"/>
        </w:trPr>
        <w:tc>
          <w:tcPr>
            <w:tcW w:w="4013" w:type="dxa"/>
            <w:tcBorders>
              <w:left w:val="single" w:sz="4" w:space="0" w:color="000000"/>
            </w:tcBorders>
          </w:tcPr>
          <w:p>
            <w:pPr>
              <w:pStyle w:val="TableParagraph"/>
              <w:spacing w:line="226" w:lineRule="exact"/>
              <w:ind w:left="110"/>
              <w:rPr>
                <w:b/>
                <w:sz w:val="20"/>
              </w:rPr>
            </w:pPr>
            <w:r>
              <w:rPr>
                <w:b/>
                <w:sz w:val="20"/>
              </w:rPr>
              <w:t>Images</w:t>
            </w:r>
          </w:p>
        </w:tc>
        <w:tc>
          <w:tcPr>
            <w:tcW w:w="5051" w:type="dxa"/>
            <w:tcBorders>
              <w:right w:val="single" w:sz="4" w:space="0" w:color="000000"/>
            </w:tcBorders>
          </w:tcPr>
          <w:p>
            <w:pPr>
              <w:pStyle w:val="TableParagraph"/>
              <w:spacing w:line="226" w:lineRule="exact"/>
              <w:rPr>
                <w:sz w:val="20"/>
              </w:rPr>
            </w:pPr>
            <w:hyperlink r:id="rId8">
              <w:r>
                <w:rPr>
                  <w:color w:val="0462C1"/>
                  <w:sz w:val="20"/>
                  <w:u w:val="single" w:color="0462C1"/>
                </w:rPr>
                <w:t>www.herofest.ch/medien</w:t>
              </w:r>
            </w:hyperlink>
          </w:p>
        </w:tc>
      </w:tr>
      <w:tr>
        <w:trPr>
          <w:trHeight w:val="920" w:hRule="atLeast"/>
        </w:trPr>
        <w:tc>
          <w:tcPr>
            <w:tcW w:w="4013" w:type="dxa"/>
            <w:tcBorders>
              <w:left w:val="single" w:sz="4" w:space="0" w:color="000000"/>
            </w:tcBorders>
          </w:tcPr>
          <w:p>
            <w:pPr>
              <w:pStyle w:val="TableParagraph"/>
              <w:spacing w:before="110"/>
              <w:ind w:left="110"/>
              <w:rPr>
                <w:b/>
                <w:sz w:val="20"/>
              </w:rPr>
            </w:pPr>
            <w:r>
              <w:rPr>
                <w:b/>
                <w:sz w:val="20"/>
              </w:rPr>
              <w:t>Responsable du salon</w:t>
            </w:r>
          </w:p>
        </w:tc>
        <w:tc>
          <w:tcPr>
            <w:tcW w:w="5051" w:type="dxa"/>
            <w:tcBorders>
              <w:right w:val="single" w:sz="4" w:space="0" w:color="000000"/>
            </w:tcBorders>
          </w:tcPr>
          <w:p>
            <w:pPr>
              <w:pStyle w:val="TableParagraph"/>
              <w:spacing w:before="110"/>
              <w:rPr>
                <w:sz w:val="20"/>
              </w:rPr>
            </w:pPr>
            <w:r>
              <w:rPr>
                <w:sz w:val="20"/>
              </w:rPr>
              <w:t>Anne Maria Schneider, responsable du salon Téléphone: +41 31 340 11 86</w:t>
            </w:r>
          </w:p>
          <w:p>
            <w:pPr>
              <w:pStyle w:val="TableParagraph"/>
              <w:rPr>
                <w:sz w:val="20"/>
              </w:rPr>
            </w:pPr>
            <w:r>
              <w:rPr>
                <w:sz w:val="20"/>
              </w:rPr>
              <w:t>E-mail: </w:t>
            </w:r>
            <w:hyperlink r:id="rId11">
              <w:r>
                <w:rPr>
                  <w:sz w:val="20"/>
                  <w:u w:val="single"/>
                </w:rPr>
                <w:t>anne.schneider@bernexpo.ch</w:t>
              </w:r>
            </w:hyperlink>
          </w:p>
        </w:tc>
      </w:tr>
      <w:tr>
        <w:trPr>
          <w:trHeight w:val="801" w:hRule="atLeast"/>
        </w:trPr>
        <w:tc>
          <w:tcPr>
            <w:tcW w:w="4013" w:type="dxa"/>
            <w:tcBorders>
              <w:left w:val="single" w:sz="4" w:space="0" w:color="000000"/>
              <w:bottom w:val="single" w:sz="4" w:space="0" w:color="000000"/>
            </w:tcBorders>
          </w:tcPr>
          <w:p>
            <w:pPr>
              <w:pStyle w:val="TableParagraph"/>
              <w:spacing w:before="111"/>
              <w:ind w:left="110"/>
              <w:rPr>
                <w:b/>
                <w:sz w:val="20"/>
              </w:rPr>
            </w:pPr>
            <w:r>
              <w:rPr>
                <w:b/>
                <w:sz w:val="20"/>
              </w:rPr>
              <w:t>Contact média</w:t>
            </w:r>
          </w:p>
        </w:tc>
        <w:tc>
          <w:tcPr>
            <w:tcW w:w="5051" w:type="dxa"/>
            <w:tcBorders>
              <w:bottom w:val="single" w:sz="4" w:space="0" w:color="000000"/>
              <w:right w:val="single" w:sz="4" w:space="0" w:color="000000"/>
            </w:tcBorders>
          </w:tcPr>
          <w:p>
            <w:pPr>
              <w:pStyle w:val="TableParagraph"/>
              <w:spacing w:before="111"/>
              <w:rPr>
                <w:sz w:val="20"/>
              </w:rPr>
            </w:pPr>
            <w:r>
              <w:rPr>
                <w:sz w:val="20"/>
              </w:rPr>
              <w:t>Adrian Erni, responsable des relations presse Téléphone: +41 79 464 64 59</w:t>
            </w:r>
          </w:p>
          <w:p>
            <w:pPr>
              <w:pStyle w:val="TableParagraph"/>
              <w:spacing w:line="211" w:lineRule="exact"/>
              <w:rPr>
                <w:sz w:val="20"/>
              </w:rPr>
            </w:pPr>
            <w:r>
              <w:rPr>
                <w:sz w:val="20"/>
              </w:rPr>
              <w:t>E-mail: </w:t>
            </w:r>
            <w:hyperlink r:id="rId9">
              <w:r>
                <w:rPr>
                  <w:sz w:val="20"/>
                </w:rPr>
                <w:t>adrian.erni@bernexpo.ch</w:t>
              </w:r>
            </w:hyperlink>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p>
      <w:pPr>
        <w:tabs>
          <w:tab w:pos="2948" w:val="left" w:leader="none"/>
        </w:tabs>
        <w:spacing w:before="1"/>
        <w:ind w:left="135" w:right="0" w:firstLine="0"/>
        <w:jc w:val="left"/>
        <w:rPr>
          <w:rFonts w:ascii="Arial" w:hAnsi="Arial"/>
          <w:sz w:val="15"/>
        </w:rPr>
      </w:pPr>
      <w:r>
        <w:rPr>
          <w:rFonts w:ascii="Arial" w:hAnsi="Arial"/>
          <w:sz w:val="15"/>
        </w:rPr>
        <w:t>BERNEXPO</w:t>
      </w:r>
      <w:r>
        <w:rPr>
          <w:rFonts w:ascii="Arial" w:hAnsi="Arial"/>
          <w:spacing w:val="-2"/>
          <w:sz w:val="15"/>
        </w:rPr>
        <w:t> </w:t>
      </w:r>
      <w:r>
        <w:rPr>
          <w:rFonts w:ascii="Arial" w:hAnsi="Arial"/>
          <w:sz w:val="15"/>
        </w:rPr>
        <w:t>AG</w:t>
        <w:tab/>
        <w:t>Tél.    +41 31 340 11</w:t>
      </w:r>
      <w:r>
        <w:rPr>
          <w:rFonts w:ascii="Arial" w:hAnsi="Arial"/>
          <w:spacing w:val="-4"/>
          <w:sz w:val="15"/>
        </w:rPr>
        <w:t> </w:t>
      </w:r>
      <w:r>
        <w:rPr>
          <w:rFonts w:ascii="Arial" w:hAnsi="Arial"/>
          <w:sz w:val="15"/>
        </w:rPr>
        <w:t>11</w:t>
      </w:r>
    </w:p>
    <w:p>
      <w:pPr>
        <w:tabs>
          <w:tab w:pos="2948" w:val="left" w:leader="none"/>
        </w:tabs>
        <w:spacing w:before="5"/>
        <w:ind w:left="135" w:right="0" w:firstLine="0"/>
        <w:jc w:val="left"/>
        <w:rPr>
          <w:rFonts w:ascii="Arial"/>
          <w:sz w:val="15"/>
        </w:rPr>
      </w:pPr>
      <w:r>
        <w:rPr>
          <w:rFonts w:ascii="Arial"/>
          <w:sz w:val="15"/>
        </w:rPr>
        <w:t>Mingerstrasse</w:t>
      </w:r>
      <w:r>
        <w:rPr>
          <w:rFonts w:ascii="Arial"/>
          <w:spacing w:val="-2"/>
          <w:sz w:val="15"/>
        </w:rPr>
        <w:t> </w:t>
      </w:r>
      <w:r>
        <w:rPr>
          <w:rFonts w:ascii="Arial"/>
          <w:sz w:val="15"/>
        </w:rPr>
        <w:t>6</w:t>
        <w:tab/>
        <w:t>Fax    +41 31 340 11</w:t>
      </w:r>
      <w:r>
        <w:rPr>
          <w:rFonts w:ascii="Arial"/>
          <w:spacing w:val="-5"/>
          <w:sz w:val="15"/>
        </w:rPr>
        <w:t> </w:t>
      </w:r>
      <w:r>
        <w:rPr>
          <w:rFonts w:ascii="Arial"/>
          <w:sz w:val="15"/>
        </w:rPr>
        <w:t>10</w:t>
      </w:r>
    </w:p>
    <w:p>
      <w:pPr>
        <w:tabs>
          <w:tab w:pos="2948" w:val="left" w:leader="none"/>
        </w:tabs>
        <w:spacing w:before="22"/>
        <w:ind w:left="135" w:right="0" w:firstLine="0"/>
        <w:jc w:val="left"/>
        <w:rPr>
          <w:rFonts w:ascii="Arial"/>
          <w:sz w:val="15"/>
        </w:rPr>
      </w:pPr>
      <w:r>
        <w:rPr>
          <w:rFonts w:ascii="Arial"/>
          <w:sz w:val="15"/>
        </w:rPr>
        <w:t>Case</w:t>
      </w:r>
      <w:r>
        <w:rPr>
          <w:rFonts w:ascii="Arial"/>
          <w:spacing w:val="-2"/>
          <w:sz w:val="15"/>
        </w:rPr>
        <w:t> </w:t>
      </w:r>
      <w:r>
        <w:rPr>
          <w:rFonts w:ascii="Arial"/>
          <w:sz w:val="15"/>
        </w:rPr>
        <w:t>postale</w:t>
        <w:tab/>
      </w:r>
      <w:hyperlink r:id="rId12">
        <w:r>
          <w:rPr>
            <w:rFonts w:ascii="Arial"/>
            <w:sz w:val="15"/>
          </w:rPr>
          <w:t>info@bernexpo.ch </w:t>
        </w:r>
      </w:hyperlink>
      <w:hyperlink r:id="rId13">
        <w:r>
          <w:rPr>
            <w:rFonts w:ascii="Arial"/>
            <w:sz w:val="15"/>
          </w:rPr>
          <w:t>www.bernexpo.ch</w:t>
        </w:r>
      </w:hyperlink>
    </w:p>
    <w:p>
      <w:pPr>
        <w:tabs>
          <w:tab w:pos="2948" w:val="left" w:leader="none"/>
        </w:tabs>
        <w:spacing w:before="0"/>
        <w:ind w:left="135" w:right="0" w:firstLine="0"/>
        <w:jc w:val="left"/>
        <w:rPr>
          <w:rFonts w:ascii="Arial"/>
          <w:sz w:val="15"/>
        </w:rPr>
      </w:pPr>
      <w:r>
        <w:rPr>
          <w:rFonts w:ascii="Arial"/>
          <w:sz w:val="15"/>
        </w:rPr>
        <w:t>CH-3000</w:t>
      </w:r>
      <w:r>
        <w:rPr>
          <w:rFonts w:ascii="Arial"/>
          <w:spacing w:val="-2"/>
          <w:sz w:val="15"/>
        </w:rPr>
        <w:t> </w:t>
      </w:r>
      <w:r>
        <w:rPr>
          <w:rFonts w:ascii="Arial"/>
          <w:sz w:val="15"/>
        </w:rPr>
        <w:t>Berne</w:t>
      </w:r>
      <w:r>
        <w:rPr>
          <w:rFonts w:ascii="Arial"/>
          <w:spacing w:val="-2"/>
          <w:sz w:val="15"/>
        </w:rPr>
        <w:t> </w:t>
      </w:r>
      <w:r>
        <w:rPr>
          <w:rFonts w:ascii="Arial"/>
          <w:sz w:val="15"/>
        </w:rPr>
        <w:t>22</w:t>
        <w:tab/>
      </w:r>
      <w:hyperlink r:id="rId14">
        <w:r>
          <w:rPr>
            <w:rFonts w:ascii="Arial"/>
            <w:sz w:val="15"/>
          </w:rPr>
          <w:t>www.bernexpo.ch</w:t>
        </w:r>
      </w:hyperlink>
    </w:p>
    <w:sectPr>
      <w:pgSz w:w="11910" w:h="16840"/>
      <w:pgMar w:top="13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de-ch" w:eastAsia="de-ch" w:bidi="de-ch"/>
    </w:rPr>
  </w:style>
  <w:style w:styleId="BodyText" w:type="paragraph">
    <w:name w:val="Body Text"/>
    <w:basedOn w:val="Normal"/>
    <w:uiPriority w:val="1"/>
    <w:qFormat/>
    <w:pPr/>
    <w:rPr>
      <w:rFonts w:ascii="Times New Roman" w:hAnsi="Times New Roman" w:eastAsia="Times New Roman" w:cs="Times New Roman"/>
      <w:sz w:val="24"/>
      <w:szCs w:val="24"/>
      <w:lang w:val="de-ch" w:eastAsia="de-ch" w:bidi="de-ch"/>
    </w:rPr>
  </w:style>
  <w:style w:styleId="Heading1" w:type="paragraph">
    <w:name w:val="Heading 1"/>
    <w:basedOn w:val="Normal"/>
    <w:uiPriority w:val="1"/>
    <w:qFormat/>
    <w:pPr>
      <w:ind w:left="116"/>
      <w:jc w:val="both"/>
      <w:outlineLvl w:val="1"/>
    </w:pPr>
    <w:rPr>
      <w:rFonts w:ascii="Times New Roman" w:hAnsi="Times New Roman" w:eastAsia="Times New Roman" w:cs="Times New Roman"/>
      <w:b/>
      <w:bCs/>
      <w:sz w:val="24"/>
      <w:szCs w:val="24"/>
      <w:lang w:val="de-ch" w:eastAsia="de-ch" w:bidi="de-ch"/>
    </w:rPr>
  </w:style>
  <w:style w:styleId="ListParagraph" w:type="paragraph">
    <w:name w:val="List Paragraph"/>
    <w:basedOn w:val="Normal"/>
    <w:uiPriority w:val="1"/>
    <w:qFormat/>
    <w:pPr/>
    <w:rPr>
      <w:lang w:val="de-ch" w:eastAsia="de-ch" w:bidi="de-ch"/>
    </w:rPr>
  </w:style>
  <w:style w:styleId="TableParagraph" w:type="paragraph">
    <w:name w:val="Table Paragraph"/>
    <w:basedOn w:val="Normal"/>
    <w:uiPriority w:val="1"/>
    <w:qFormat/>
    <w:pPr>
      <w:ind w:left="624"/>
    </w:pPr>
    <w:rPr>
      <w:rFonts w:ascii="Times New Roman" w:hAnsi="Times New Roman" w:eastAsia="Times New Roman" w:cs="Times New Roman"/>
      <w:lang w:val="de-ch" w:eastAsia="de-ch" w:bidi="de-ch"/>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herofest.ch/tickets" TargetMode="External"/><Relationship Id="rId7" Type="http://schemas.openxmlformats.org/officeDocument/2006/relationships/hyperlink" Target="https://eu.lolesports.com/de/premier-tour" TargetMode="External"/><Relationship Id="rId8" Type="http://schemas.openxmlformats.org/officeDocument/2006/relationships/hyperlink" Target="http://www.herofest.ch/fr/desktopdefault.aspx/tabid-5081" TargetMode="External"/><Relationship Id="rId9" Type="http://schemas.openxmlformats.org/officeDocument/2006/relationships/hyperlink" Target="mailto:adrian.erni@bernexpo.ch" TargetMode="External"/><Relationship Id="rId10" Type="http://schemas.openxmlformats.org/officeDocument/2006/relationships/hyperlink" Target="http://www.herofest.ch/fr/" TargetMode="External"/><Relationship Id="rId11" Type="http://schemas.openxmlformats.org/officeDocument/2006/relationships/hyperlink" Target="mailto:anne.schneider@bernexpo.ch" TargetMode="External"/><Relationship Id="rId12" Type="http://schemas.openxmlformats.org/officeDocument/2006/relationships/hyperlink" Target="mailto:info@bernexpo.ch" TargetMode="External"/><Relationship Id="rId13" Type="http://schemas.openxmlformats.org/officeDocument/2006/relationships/hyperlink" Target="http://www.bernexpo.ch/fr" TargetMode="External"/><Relationship Id="rId14" Type="http://schemas.openxmlformats.org/officeDocument/2006/relationships/hyperlink" Target="http://www.bernexpo.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Zürcher</dc:creator>
  <dcterms:created xsi:type="dcterms:W3CDTF">2018-08-14T11:33:29Z</dcterms:created>
  <dcterms:modified xsi:type="dcterms:W3CDTF">2018-08-14T11:33:29Z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Word 2016</vt:lpwstr>
  </property>
  <property fmtid="{D5CDD505-2E9C-101B-9397-08002B2CF9AE}" pid="4" name="LastSaved">
    <vt:filetime>2018-08-14T00:00:00Z</vt:filetime>
  </property>
</Properties>
</file>